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4" w:lineRule="exact"/>
        <w:ind w:right="0" w:rightChars="0"/>
        <w:textAlignment w:val="auto"/>
        <w:outlineLvl w:val="9"/>
        <w:rPr>
          <w:rFonts w:hint="eastAsia" w:ascii="方正小标宋_GBK" w:hAnsi="方正小标宋_GBK" w:eastAsia="方正小标宋_GBK" w:cs="方正小标宋_GBK"/>
          <w:b/>
          <w:sz w:val="36"/>
          <w:szCs w:val="36"/>
        </w:rPr>
      </w:pPr>
      <w:bookmarkStart w:id="0" w:name="_GoBack"/>
      <w:bookmarkEnd w:id="0"/>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陕西省总工会关于印发《陕西省基层工会</w:t>
      </w: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经费收支管理办法实施细则》的通知</w:t>
      </w:r>
    </w:p>
    <w:p>
      <w:pPr>
        <w:spacing w:line="560" w:lineRule="exact"/>
        <w:jc w:val="center"/>
        <w:rPr>
          <w:rFonts w:hint="eastAsia" w:ascii="仿宋" w:hAnsi="仿宋" w:eastAsia="仿宋"/>
          <w:sz w:val="32"/>
          <w:szCs w:val="32"/>
        </w:rPr>
      </w:pPr>
    </w:p>
    <w:p>
      <w:pPr>
        <w:spacing w:line="560" w:lineRule="exact"/>
        <w:jc w:val="center"/>
        <w:rPr>
          <w:rFonts w:hint="eastAsia" w:ascii="仿宋" w:hAnsi="仿宋" w:eastAsia="仿宋"/>
          <w:sz w:val="32"/>
          <w:szCs w:val="32"/>
        </w:rPr>
      </w:pPr>
      <w:r>
        <w:rPr>
          <w:rFonts w:hint="eastAsia" w:ascii="仿宋" w:hAnsi="仿宋" w:eastAsia="仿宋"/>
          <w:sz w:val="32"/>
          <w:szCs w:val="32"/>
        </w:rPr>
        <w:t>陕工发〔2018〕1号</w:t>
      </w:r>
    </w:p>
    <w:p>
      <w:pPr>
        <w:keepNext w:val="0"/>
        <w:keepLines w:val="0"/>
        <w:pageBreakBefore w:val="0"/>
        <w:widowControl w:val="0"/>
        <w:kinsoku/>
        <w:wordWrap/>
        <w:overflowPunct/>
        <w:topLinePunct w:val="0"/>
        <w:autoSpaceDE/>
        <w:autoSpaceDN/>
        <w:bidi w:val="0"/>
        <w:adjustRightInd w:val="0"/>
        <w:snapToGrid w:val="0"/>
        <w:spacing w:line="574"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74" w:lineRule="exact"/>
        <w:ind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各市、杨凌示范区总工会，各省级产业工会，省总各直管单位工会，省总各部门、各直属单位：</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基层工会经费收支管理，规范基层工会经费使用，使工会经费更好地惠及广大会员职工，根据中华全国总工会办公厅《关于印发&lt;基层工会经费收支管理办法&gt;的通知》（总工办发[2017]32号）精神，结合我省工会实际，制定了《陕西省基层工会经费收支管理办法实施细则》，已经省总主席办公会议审议通过。现印发给你们，请认真遵照执行。</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附件：《陕西省基层工会经费收支管理办法实施细则》</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left="2940" w:leftChars="0" w:right="0" w:rightChars="0" w:firstLine="42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陕西省总工会</w:t>
      </w:r>
    </w:p>
    <w:p>
      <w:pPr>
        <w:keepNext w:val="0"/>
        <w:keepLines w:val="0"/>
        <w:pageBreakBefore w:val="0"/>
        <w:widowControl w:val="0"/>
        <w:kinsoku/>
        <w:wordWrap/>
        <w:overflowPunct/>
        <w:topLinePunct w:val="0"/>
        <w:autoSpaceDE/>
        <w:autoSpaceDN/>
        <w:bidi w:val="0"/>
        <w:spacing w:line="574" w:lineRule="exact"/>
        <w:ind w:left="2940" w:leftChars="0" w:right="0" w:rightChars="0" w:firstLine="42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2018年2月10日</w:t>
      </w:r>
    </w:p>
    <w:p>
      <w:pPr>
        <w:keepNext w:val="0"/>
        <w:keepLines w:val="0"/>
        <w:pageBreakBefore w:val="0"/>
        <w:widowControl w:val="0"/>
        <w:kinsoku/>
        <w:wordWrap/>
        <w:overflowPunct/>
        <w:topLinePunct w:val="0"/>
        <w:autoSpaceDE/>
        <w:autoSpaceDN/>
        <w:bidi w:val="0"/>
        <w:spacing w:line="574" w:lineRule="exact"/>
        <w:ind w:right="0" w:rightChars="0"/>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br w:type="page"/>
      </w: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陕西省基层工会经费收支管理办法实施细则</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总　　则</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为加强基层工会收支管理，规范基层工会经费使用，根据《中华人民共和国工会法》和《中国工会章程》《工会会计制度》《工会预算管理办法》《基层工会经费收支管理办法》等有关规定以及中华全国总工会（以下简称“全国总工会”）贯彻落实中央有关规定的相关要求，结合我省工会实际，制定本实施细则。</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本实施细则适用于企业、事业单位、机关和其他经济社会组织单独或联合建立的基层工会委员会。</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基层工会的经费收支管理应遵循以下原则：</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遵纪守法原则。基层工会应根据《中华人民共和国工会法》的有关规定，依法组织各项收入，严格遵守国家财经法律法规，严格执行全国总工会和陕西省总工会有关制度规定，严肃财经纪律，严格工会经费使用，加强工会经费收支管理。</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费独立原则。基层工会应依据全国总工会关于工会法人登记管理的有关规定取得工会法人资格，依法享有民事权利、承担民事义务，并根据财政部、中国人民银行的有关规定，设立独立的工会经费账户，实行工会经费独立核算。</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预算管理原则。基层工会应按照《工会预算管理办法》的要求，将单位各项收入全部纳入预算管理，基层工会年度收支预算（含调整预算）需经同级工会委员会和工会经费审查委员会审查同意，并报上级主管工会批准。</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服务职工原则。基层工会应坚持工会经费的使用方向，优化工会经费支出结构，严格控制一般性支出，将更多的工会经费用于为职工服务和开展工会活动，维护职工的合法权益，增强工会组织服务职工的能力。</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勤俭节约原则。基层工会应按照党中央、国务院关于厉行节约反对奢侈浪费的有关规定，严格控制工会经费的开支范围和开支标准，经费使用要精打细算，少花钱多办事，节约开支，提高工会经费使用效益。</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民主管理原则。基层工会应依靠会员管好用好工会经费。年度工会经费的收支情况应定期向会员大会或会员代表大会报告，建立经费收支信息公开制度，主动接受会员监督。同时，接受上级工会监督，依法接受国家审计监督。</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工会经费收入</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基层工会经费收入范围包括：</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（一）会费收入。会费收入是指工会会员依照全国总工会规定按本人工资收入的5‰向所在基层工会组织缴纳的会费。</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（二）拨缴经费收入。拨缴经费收入是指建立工会组织的单位按全部职工工资总额的2%依法向工会拨缴的经费中的留成部分。</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（三）上级工会补助收入。上级工会补助收入是指基层工会收到的上级工会拨付的各类补助款项。</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（四）行政补助收入。行政补助收入是指基层工会所在单位依法对工会组织给予的各项经费补助。</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（五）事业收入。事业收入是指基层工会所属独立核算的事业单位上缴的收入和非独立核算的附属事业单位的各项事业收入。</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（六）投资收益。投资收益是指基层工会依据相关规定对外投资取得的收益。</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（七）其他收入。其他收入是指基层工会取得的资产盘盈、固定资产处置净收入、接受捐赠收入和利息收入等。</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基层工会应加强对各项经费收入的管理。要按照会员工资收入和规定的比例，按时收取全部会员应交的会费。要严格按照国家统计局公布的职工工资总额口径和所在省级工会规定的分成比例，及时足额拨缴工会经费；实行财政划拨或委托税务代收部分工会经费的基层工会，应加强与本单位党政部门的沟通，依法足额落实基层工会按照省级工会确定的留成比例应当留成的经费。要统筹安排行政补助收入，按照预算确定的用途开支，不得将与工会无关的经费以行政补助名义纳入工会账户管理。</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工会经费支出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基层工会经费主要用于为职工服务和开展工会活动。</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基层工会经费支出范围包括：职工活动支出、维权支出、业务支出、资本性支出、事业支出和其他支出。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职工活动支出是指基层工会组织开展职工教育、文体、宣传等活动所发生的支出和工会组织的职工集体福利支出。包括：</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用于教师酬金，严格按照陕西省财政厅中共陕西省委组织部陕西省公务员局关于印发《陕西省省级机关培训费管理办法的通知》（陕财办行〔2017〕6号）的相关规定执行。</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文体活动支出。用于基层工会开展或参加上级工会组织的职工业余文体活动所需的器材、服装、用品等购置、租赁与维修方面的支出以及活动场地、交通工具的租金支出等，用于文体活动优胜者的奖励支出，用于文体活动中必要的伙食补助费。</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于文体比赛活动奖励应以精神鼓励为主、物质激励为辅的原则，活动方案中要明确奖励办法、标准和等次，奖励范围不能超过参加人员总数的三分之二，物质奖励最高不得超过300元/人（每年不超过两次）。团体项目一等奖奖品（奖金）人均不超过300元。不设置奖项的，可为参加人员发放参与奖，人均不超过100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基层工会参加上级工会组织的各类比赛可以按照上级工会要求或根据实际需要为参赛人员购置统一服装，每人标准最高不超过800元。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基层工会开展体育比赛聘请具有国家有关部门认可的裁判技术等级人员，每人每天裁判费最高不超过300元，聘请其他裁判人员每人每天裁判费最高不超过200元。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基层工会参加上级工会组织的各类比赛可以聘请教练进行指导，教练酬金为具有国家有关部门承认的教练等级人员，每人每天最高不超过300元，其他教练人员每人每天最高不超过200元。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工作人员在组织开展本单位或上级工会组织的各类活动过程中，工作人员和参赛人员食宿费、伙食补助费、市内交通费补助按照同级财政规定标准执行。如确因工作需要不能按时就餐，对因参加活动而误餐的工会干部和工会会员可以给予误餐补助，标准为50元／人次。</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基层工会在组织开展各类比赛时，应根据具体情况为参赛人员在参赛期间购买人身意外保险，购买险种根据实际情况自行确定（不得借此购买与举办活动无关的商业保险）。</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在组织全体会员观赏电影（或发放电影券）、文艺演出和体育比赛、购买当地公园年票、开展春游秋游等活动时先由会费列支，当会费不足时，可以用工会经费予以适当弥补，弥补部分不超过基层工会当年会费收入的三倍。基层工会可组织会员春秋游，范围限于省内，应当日往返，不得到有关部门明令禁止的风景名胜区开展春秋游活动，不得安排收费旅游景点的相关活动，春秋游如有需要可安排工作餐、开支交通费，不可开支景区门票、导游费、住宿费和其他补贴费用。</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宣传活动支出。用于基层工会开展重点工作、重大主题和重大节日宣传活动所需的材料消耗、场地租金、购买服务等方面的支出，用于培育和践行社会主义核心价值观，弘扬劳模精神和工匠精神等经常性宣传活动方面的支出，用于基层工会开展或参加上级工会举办的知识竞赛、宣讲、演讲比赛、展览等宣传活动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职工集体福利支出。用于基层工会逢年过节和会员生日、结婚生育、生病住院及去世、退休离岗的慰问支出等。基层工会逢年过节可以向全体会员发放节日慰问品，每位会员年度总额不超过1500元（且不得超出当年工会经费预算支出的30%）。逢年过节的年节是指国家规定的法定节日（即元旦、春节、清明节、劳动节、端午节、中秋节和国庆节），节日慰问品原则上为符合中国传统节日习惯的用品和职工群众必须的生活用品等，如普通简装月饼、粽子、米、面、油、肉、蛋、奶、水果、干果及日常生活用品，基层工会可结合实际采取便捷灵活的发放方式，严禁发放现金、各种商业预付卡、购物卡、电子礼品卡、消费券等。</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工会会员生日慰问，可给予购买不超过300元的生日蛋糕等慰问品，也可向会员发放蛋糕券。</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工会会员符合政策的结婚、生育，可给予购买不超过300元的慰问品。</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工会会员退休和离岗，基层工会可组织座谈会予以欢送，座谈会可购买适当的干鲜水果等食品，同时可为本人发放不超过1000元的纪念品。</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工会会员患病住院，工会组织探望时可给予不超过500元的慰问品或慰问金。重大疾病可申请特殊困难补助或通过职工互助保障得到帮助。</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在职工会会员去世，可给予不高于2000元的慰问金，直系亲属（限于配偶、父母、子女）去世的，可给予不高于1000元的慰问金。</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（五）其他活动支出，用于工会组织开展的劳动模范、先进职工疗休养补贴等活动支出。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可用同级政府或行政部门安排的专项经费或本级工会经费举办一线先进职工和劳动模范疗休养活动，活动应优先选择在工会系统劳动模范疗休养院和基地进行，省内不超过5天，省外不超过7天，往返交通费由参加人员回所在单位报销，落地后的疗休养费省内每人不超过1000元，省外不超过2000元，活动组织单位的工作人员不超过疗休养人数的10%。</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疗休养主要以休息疗养、康复治疗、开展健康体检和讲座、形势报告、座谈交流、文体活动等形式组织开展，疗休养期间不得安排收费旅游景点的相关活动，外出参观原则上不超过休养时间的三分之一，参观考察以免费的革命传统教育基地、先进企业及社区、社会主义新农村、博物馆、纪念馆等为主。将疗休养活动与爱国主义教育、提升劳模职工素质结合起来，严禁借疗休养的名义组织公款或变相旅游，疗休养期间不得跨省活动，原则上住宿地点不变。</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维权支出是指基层工会用于维护职工权益方面的支出，包括劳动关系协调费、劳动保护费、法律援助费、困难职工帮扶费、送温暖和其他维权支出。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（一）劳动关系协调费用于推进创建劳动关系和谐企业活动、加强劳动争议调解和队伍建设、开展劳动（集体）合同咨询活动、集体合同示范文本印制等在协调劳动关系争议中发生的支出。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劳动保护费用于基层工会开展职业安全知识宣传、竞赛等以加强企业安全生产，维护职工安全健康权益所发生的支出。基层工会可以向全体职工发放防护极端恶劣天气的物品，每年每人累计最高不超过150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（三）法律援助费用于基层工会向职工群众提供法律咨询、法律服务等发生的支出。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（四）困难职工帮扶费用于基层工会对困难职工提供资金和物质帮助等发生的支出。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工会会员本人、配偶和子女因大病、意外事故、子女就学等原因致困的，基层工会可给予帮扶、救助和慰问。</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各级工会应按照全国总工会的要求，建立和完善困难职工档案，建立困难职工帮扶专项资金。</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（五）送温暖费用于基层工会向职工送温暖发生的支出。基层工会在开展送温暖活动中要严格执行省总工会每年制定的关于送温暖、送清凉及两节慰问等有关规定和要求。</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（六）其他维权支出主要用于基层工会补助职工和会员参加互助互济保障活动等其他方面的维权支出。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业务支出是指工会培训工会干部、加强自身建设及开展业务工作发生的各项支出，包括：</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培训费：用于开展工会干部和积极分子的学习和培训所需教材资料和讲课酬金等，讲课酬金按照陕西省财政厅中共陕西省委组织部陕西省公务员局关于印发《陕西省省级机关培训费管理办法的通知》（陕财办行〔2017〕16号）的相关规定执行。</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会议费：用于工会工作会议的各项支出。会议费标准严格按照中共陕西省委办公厅陕西省人民政府办公厅关于印发《省级机关会议经费管理办法的通知》（陕办发〔2014〕6号）和陕西省财政厅关于进一步加强会议经费管理的通知（陕财办行〔2016〕93号）文件的相关规定执行。</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用于评选表彰优秀工会干部和积极分子的奖励，奖励要遵循精神鼓励为主、物质激励为辅的原则，奖励最高不得超过500元/人次，奖励范围由基层工会根据本单位实际制定相关规定，向同级党组织报备后执行。</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（四）用于组织劳动竞赛、合理化建议、技术革新和协作等活动。</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组织开展的合理化建议、技术革新、发明创造、岗位练兵、技术比武、技术培训等劳动和技能竞赛活动，可进行适当奖励。标准为一般不超过1000元，奖励范围不得超过参与人数的三分之一。同时，可以向未获得奖励的参加人员发放少量的物品以资鼓励，每次每人最高不超过100元。在开展劳动竞赛、合理化建议、技术革新和协作等活动时，可以聘请相关人员作为评委，对开展的活动进行评审，每人评审费最高不超过1000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（五）用于开展外事活动、工会组织建设、建家活动、大型专题调研等方面的支出。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（六）用于基层工会支付代理记账、经审经费（中介机构审计费）、基层工会办公、差旅等其他专项业务的支出。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其他业务支出，基层工会（不含党政机关、事业单位和国有企业工会）可对兼职工会干部（含兼职财务人员）发放补贴。单位职工人数500人（含500人）以下补贴一般每人每月不超过100元;单位职工人数500人以上1000人（含1000人）以下的补贴一般每人每月不超过150元;单位职工人数1000人以上的补贴一般每人每月不超过200元。</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基层工会专职工作人员的工资、奖励、补贴由所在单位承担。基层工会可对专职社会化工会工作者发放补贴。</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资本性支出是指基层工会用于工会建设工程、设备工具购置、大型修缮和信息网络购建而发生的支出。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事业支出是指基层工会对独立核算的附属事业单位的补助和非独立核算的附属事业单位的各项支出。</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其他支出是指基层工会除上述支出以外的其他各项支出。包括：固定资产盘亏、固定资产处置净损失、对外捐赠、赞助等。</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根据《中华人民共和国工会法》的有关规定，基层工会专职工作人员的工资、奖励、补贴由所在单位承担，基层工会办公和开展活动必要的设施和活动场所等物质条件由所在单位提供。如所在单位提供的物质条件不足以保障基层工会开展工作，并在基层工会有经费结余的情况下，工会经费可适当弥补。</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财务管理</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基层工会主席对基层工会会计工作和会计资料的真实性、完整性负责。</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基层工会应根据国家和全国总工会的有关政策规定以及上级工会的要求，制定年度工作计划，依法、真实、完整、合理的编制年度预算，依法履行必要程序后报上级工会批准，严禁无预算、超预算使用工会经费支出。年度预算原则上一年调整一次，调整预算的编制审批程序与预算编制审批程序一致。</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基层工会根据批准的年度预算，积极组织各项收入，合理安排各项支出，严格按照《工会会计制度》的要求科学设立会计科目、及时登记会计账簿、准确办理收支核算，定期向工会委员会和经费审查委员会报告预算执行情况。</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基层工会应加强财务管理制度建设，健全完善财务报销、资产管理、资金使用等内部控制制度。基层工会应依法组织工会经费收入，严格控制工会经费支出，各项收支实行工会委员会集体领导下的主席负责制，重大事项需集体研究决定。凡涉及会员和职工切身利益的物质奖励、职工福利等支出需集体研究制定具体标准，并向同级党组织报告。</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基层工会应根据自身实际科学设置会计机构、合理配置会计人员，真实、完整、准确、及时反映工会经费收支情况和财务管理状况。具备条件的基层工会，应当设置会计机构或在有关机构中设置专职会计人员；不具备条件的，由设立工会财务结算中心的乡镇（街道）、开发区（工业园区）工会实行集中核算，分户管理，或者委托本单位财务部门或经批准设立从事会计代理记账业务的中介机构或聘请兼职会计人员代理记账。</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各单位要规范工会财务管理：严格遵守国家和上级工会有关规定，年初要编制工会年度预算，经费支出应严格控制在年度预算范围内；严格按规定拨缴工会经费；工会举办的活动项目要有具体方案和通知；购物发票要写明具体品名、数量、单价及明细清单；报销单据应付上所有参与人员名单，奖金、物品发放要有签领单，用餐要有接待函和消费清单；举办活动不可违反规定发放津贴，不可对参加上级工会或其他部门举办的文体活动的获奖人员再发配套奖；严禁借疗休养和春秋游的名义用工会经费组织公款或变相旅游；行政对工会的补助款项列支渠道要符合有关规定，不可将应在行政等经费列支的费用转到工会账户支出，不可超范围超标准支出工会经费；基层工会应单独设立工会账户，工会经费实行独立核算。</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基层单位职工体检、职工食堂、职工和劳模疗休养、职工教育、行政方面的表彰等工作，属单位行政的福利费、教育费、商品和服务支出范围，不得由工会经费列支。受单位行政委托，基层工会可以协助或承办上述工作，但经费由行政负担。行政可以给工会进行专项补助，但不得以行政补助的名义由工会经办职工集体福利。离退休干部职工按有关规定享受相关待遇，经费从离退休干部公用经费中支出，或按有关规定列支。</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监督检查</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rPr>
        <w:t>　省总工会负责对全省工会系统工会经费的收入、支出和使用管理情况进行监督检查。按照“统一领导、分级管理”的管理体制，设区市级及以下各级工会应加强对本级和下一级工会经费收支与使用管理情况的监督检查，下一级工会应定期向本级工会委员会和上一级工会报告财务监督检查情况。</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rPr>
        <w:t>　基层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单位财务收支情况和预算执行情况进行审查监督。</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w:t>
      </w:r>
      <w:r>
        <w:rPr>
          <w:rFonts w:hint="eastAsia" w:ascii="方正仿宋_GBK" w:hAnsi="方正仿宋_GBK" w:eastAsia="方正仿宋_GBK" w:cs="方正仿宋_GBK"/>
          <w:sz w:val="32"/>
          <w:szCs w:val="32"/>
        </w:rPr>
        <w:t>　基层工会不准将工会经费用于服务职工群众和开展工会活动以外的开支。</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（一）不准使用工会经费购买各种商业预付卡、购物卡、电子礼品卡、消费券等，搞请客送礼等活动。</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（二）不准违反工会经费使用规定，滥发津贴、补贴、奖金。</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（三）不准使用工会经费支付国家明令禁止的高消费性娱乐和健身活动。</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（四）不准单位行政利用工会账户，违规设立“小金库”。</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（五）不准将工会账户并入单位行政账户，使工会经费开支失去控制。</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（六）不准截留、挪用工会经费。</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（七）不准用工会经费参与非法集资活动，或为非法集资活动提供经济担保。</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（八）不准用工会经费报销与工会活动无关的费用。</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本办法核定标准均为上限标准，陕西省内的各级工会可在核定的标准内结合本单位的工作和经费情况制定执行标准，但不得擅自突破。各级工会对监督检查中发现违反基层工会经费收支管理办法的问题，要及时纠正。违规问题情节较轻的，要限期整改；涉及违纪的，由纪检监察部门按照有关规定，追究直接责任人和相关领导责任，构成犯罪的，依法移交司法机关处理。</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4"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附　　则</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第二十六条</w:t>
      </w:r>
      <w:r>
        <w:rPr>
          <w:rFonts w:hint="eastAsia" w:ascii="方正仿宋_GBK" w:hAnsi="方正仿宋_GBK" w:eastAsia="方正仿宋_GBK" w:cs="方正仿宋_GBK"/>
          <w:sz w:val="32"/>
          <w:szCs w:val="32"/>
        </w:rPr>
        <w:t>　各级工会应根据本实施办法的规定，结合本地区、本产业、本系统和本单位的工作实际，明确开支标准，规范工会工作和活动的开展。</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本办法自下发之日起施行，省总工会2015年1月27日印发的《陕西省关于贯彻落实全总基层工会经费收支管理办法》（陕工发〔2015〕1号）同时废止。如本办法与本地区（系统）党组织制定的规定、要求不一致，请按照本地区（系统）党组织制定的规定、要求执行。</w:t>
      </w:r>
    </w:p>
    <w:p>
      <w:pPr>
        <w:keepNext w:val="0"/>
        <w:keepLines w:val="0"/>
        <w:pageBreakBefore w:val="0"/>
        <w:widowControl w:val="0"/>
        <w:kinsoku/>
        <w:wordWrap/>
        <w:overflowPunct/>
        <w:topLinePunct w:val="0"/>
        <w:autoSpaceDE/>
        <w:autoSpaceDN/>
        <w:bidi w:val="0"/>
        <w:spacing w:line="574" w:lineRule="exact"/>
        <w:ind w:right="0" w:rightChars="0" w:firstLine="640" w:firstLineChars="200"/>
        <w:textAlignment w:val="auto"/>
        <w:outlineLvl w:val="9"/>
        <w:rPr>
          <w:rFonts w:hint="eastAsia" w:ascii="方正仿宋_GBK" w:eastAsia="方正仿宋_GBK"/>
          <w:sz w:val="32"/>
          <w:szCs w:val="32"/>
        </w:rPr>
      </w:pPr>
      <w:r>
        <w:rPr>
          <w:rFonts w:hint="eastAsia" w:ascii="方正黑体_GBK" w:hAnsi="方正黑体_GBK" w:eastAsia="方正黑体_GBK" w:cs="方正黑体_GBK"/>
          <w:sz w:val="32"/>
          <w:szCs w:val="32"/>
        </w:rPr>
        <w:t>第二十八条</w:t>
      </w:r>
      <w:r>
        <w:rPr>
          <w:rFonts w:hint="eastAsia" w:ascii="方正仿宋_GBK" w:hAnsi="方正仿宋_GBK" w:eastAsia="方正仿宋_GBK" w:cs="方正仿宋_GBK"/>
          <w:sz w:val="32"/>
          <w:szCs w:val="32"/>
        </w:rPr>
        <w:t>　本办法由陕西省总工会负责解释。</w:t>
      </w:r>
    </w:p>
    <w:sectPr>
      <w:footerReference r:id="rId5" w:type="first"/>
      <w:footerReference r:id="rId3" w:type="default"/>
      <w:footerReference r:id="rId4" w:type="even"/>
      <w:pgSz w:w="11906" w:h="16838"/>
      <w:pgMar w:top="2098" w:right="1418" w:bottom="2098" w:left="1418" w:header="567" w:footer="164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方正楷体简体" w:eastAsia="方正楷体简体"/>
        <w:sz w:val="24"/>
        <w:szCs w:val="24"/>
      </w:rPr>
      <w:t xml:space="preserve">— </w:t>
    </w:r>
    <w:r>
      <w:rPr>
        <w:rFonts w:hint="eastAsia" w:ascii="方正楷体简体" w:eastAsia="方正楷体简体"/>
        <w:sz w:val="24"/>
        <w:szCs w:val="24"/>
      </w:rPr>
      <w:fldChar w:fldCharType="begin"/>
    </w:r>
    <w:r>
      <w:rPr>
        <w:rFonts w:hint="eastAsia" w:ascii="方正楷体简体" w:eastAsia="方正楷体简体"/>
        <w:sz w:val="24"/>
        <w:szCs w:val="24"/>
      </w:rPr>
      <w:instrText xml:space="preserve">PAGE   \* MERGEFORMAT</w:instrText>
    </w:r>
    <w:r>
      <w:rPr>
        <w:rFonts w:hint="eastAsia" w:ascii="方正楷体简体" w:eastAsia="方正楷体简体"/>
        <w:sz w:val="24"/>
        <w:szCs w:val="24"/>
      </w:rPr>
      <w:fldChar w:fldCharType="separate"/>
    </w:r>
    <w:r>
      <w:rPr>
        <w:rFonts w:ascii="方正楷体简体" w:eastAsia="方正楷体简体"/>
        <w:sz w:val="24"/>
        <w:szCs w:val="24"/>
        <w:lang w:val="zh-CN"/>
      </w:rPr>
      <w:t>3</w:t>
    </w:r>
    <w:r>
      <w:rPr>
        <w:rFonts w:hint="eastAsia" w:ascii="方正楷体简体" w:eastAsia="方正楷体简体"/>
        <w:sz w:val="24"/>
        <w:szCs w:val="24"/>
      </w:rPr>
      <w:fldChar w:fldCharType="end"/>
    </w:r>
    <w:r>
      <w:rPr>
        <w:rFonts w:ascii="方正楷体简体" w:eastAsia="方正楷体简体"/>
        <w:sz w:val="24"/>
        <w:szCs w:val="24"/>
      </w:rPr>
      <w:t xml:space="preserve"> </w:t>
    </w:r>
    <w:r>
      <w:rPr>
        <w:rFonts w:hint="eastAsia" w:ascii="方正楷体简体" w:eastAsia="方正楷体简体"/>
        <w:sz w:val="24"/>
        <w:szCs w:val="24"/>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rFonts w:hint="eastAsia" w:asciiTheme="minorEastAsia" w:hAnsiTheme="minorEastAsia"/>
        <w:sz w:val="28"/>
        <w:szCs w:val="28"/>
      </w:rPr>
      <w:t xml:space="preserve">　—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lang w:val="zh-CN"/>
      </w:rPr>
      <w:t>2</w:t>
    </w:r>
    <w:r>
      <w:rPr>
        <w:rFonts w:hint="eastAsia"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PAGE   \* MERGEFORMAT</w:instrText>
    </w:r>
    <w:r>
      <w:rPr>
        <w:rFonts w:hint="eastAsia" w:asciiTheme="minorEastAsia" w:hAnsiTheme="minorEastAsia"/>
        <w:sz w:val="28"/>
        <w:szCs w:val="28"/>
      </w:rPr>
      <w:fldChar w:fldCharType="separate"/>
    </w:r>
    <w:r>
      <w:rPr>
        <w:rFonts w:asciiTheme="minorEastAsia" w:hAnsiTheme="minorEastAsia"/>
        <w:sz w:val="28"/>
        <w:szCs w:val="28"/>
        <w:lang w:val="zh-CN"/>
      </w:rPr>
      <w:t>1</w:t>
    </w:r>
    <w:r>
      <w:rPr>
        <w:rFonts w:hint="eastAsia" w:asciiTheme="minorEastAsia" w:hAnsiTheme="minorEastAsia"/>
        <w:sz w:val="28"/>
        <w:szCs w:val="28"/>
      </w:rPr>
      <w:fldChar w:fldCharType="end"/>
    </w:r>
    <w:r>
      <w:rPr>
        <w:rFonts w:asciiTheme="minorEastAsia" w:hAnsiTheme="minorEastAsia"/>
        <w:sz w:val="28"/>
        <w:szCs w:val="28"/>
      </w:rPr>
      <w:t xml:space="preserve"> </w:t>
    </w:r>
    <w:r>
      <w:rPr>
        <w:rFonts w:hint="eastAsia" w:asciiTheme="minorEastAsia" w:hAnsiTheme="minorEastAsia"/>
        <w:sz w:val="28"/>
        <w:szCs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hideGrammaticalErrors/>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FC2B9D"/>
    <w:rsid w:val="000963B0"/>
    <w:rsid w:val="000B4203"/>
    <w:rsid w:val="00152EDB"/>
    <w:rsid w:val="001B3407"/>
    <w:rsid w:val="001F76ED"/>
    <w:rsid w:val="00235F9C"/>
    <w:rsid w:val="002521E1"/>
    <w:rsid w:val="002C0EF9"/>
    <w:rsid w:val="002C3AB8"/>
    <w:rsid w:val="002D2BA6"/>
    <w:rsid w:val="002F5AE7"/>
    <w:rsid w:val="00324C07"/>
    <w:rsid w:val="00332193"/>
    <w:rsid w:val="00364AD9"/>
    <w:rsid w:val="004526BF"/>
    <w:rsid w:val="00497E10"/>
    <w:rsid w:val="004D0179"/>
    <w:rsid w:val="004F6472"/>
    <w:rsid w:val="0060259E"/>
    <w:rsid w:val="00623177"/>
    <w:rsid w:val="0063032B"/>
    <w:rsid w:val="00673A7A"/>
    <w:rsid w:val="006D7EE0"/>
    <w:rsid w:val="00754E1A"/>
    <w:rsid w:val="0078710C"/>
    <w:rsid w:val="00892614"/>
    <w:rsid w:val="009145E2"/>
    <w:rsid w:val="00917C7E"/>
    <w:rsid w:val="00996AF5"/>
    <w:rsid w:val="00A80A4B"/>
    <w:rsid w:val="00AF6FBB"/>
    <w:rsid w:val="00B374A1"/>
    <w:rsid w:val="00B41555"/>
    <w:rsid w:val="00B540F7"/>
    <w:rsid w:val="00BC0E57"/>
    <w:rsid w:val="00BF24E0"/>
    <w:rsid w:val="00C22634"/>
    <w:rsid w:val="00C2799C"/>
    <w:rsid w:val="00DC6BC4"/>
    <w:rsid w:val="00E357B2"/>
    <w:rsid w:val="00F54460"/>
    <w:rsid w:val="00F60AD4"/>
    <w:rsid w:val="00FB0F21"/>
    <w:rsid w:val="7AFC2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0844;&#25991;\&amp;%20&#27169;&#26495;\&#26679;&#26495;&#65288;&#21508;&#31181;&#21457;&#25991;&#65289;\#%20&#65288;&#30333;&#22836;&#12289;&#35762;&#35805;&#12289;&#26448;&#26009;&#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（白头、讲话、材料）.dotx</Template>
  <Pages>1</Pages>
  <Words>225</Words>
  <Characters>229</Characters>
  <Lines>1</Lines>
  <Paragraphs>1</Paragraphs>
  <TotalTime>0</TotalTime>
  <ScaleCrop>false</ScaleCrop>
  <LinksUpToDate>false</LinksUpToDate>
  <CharactersWithSpaces>230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2018-02-27T01:40:00Z</dcterms:created>
  <dc:creator>Administrator</dc:creator>
  <cp:lastModifiedBy>Administrator</cp:lastModifiedBy>
  <dcterms:modified xsi:type="dcterms:W3CDTF">2018-02-27T01:41:44Z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